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1B5" w:rsidRPr="001D51B5" w:rsidRDefault="001D51B5" w:rsidP="001D51B5">
      <w:pPr>
        <w:pStyle w:val="Header"/>
        <w:tabs>
          <w:tab w:val="right" w:pos="8280"/>
          <w:tab w:val="right" w:pos="9781"/>
        </w:tabs>
        <w:ind w:right="-58"/>
        <w:rPr>
          <w:rFonts w:eastAsia="MS Mincho" w:cs="Arial"/>
          <w:bCs/>
          <w:sz w:val="24"/>
          <w:szCs w:val="24"/>
          <w:lang w:eastAsia="ja-JP"/>
        </w:rPr>
      </w:pPr>
      <w:bookmarkStart w:id="0" w:name="OLE_LINK1"/>
      <w:bookmarkStart w:id="1" w:name="OLE_LINK2"/>
      <w:bookmarkStart w:id="2" w:name="_GoBack"/>
      <w:bookmarkEnd w:id="2"/>
      <w:r w:rsidRPr="001D51B5">
        <w:rPr>
          <w:rFonts w:cs="Arial"/>
          <w:bCs/>
          <w:sz w:val="24"/>
          <w:szCs w:val="24"/>
        </w:rPr>
        <w:t>3GPP TSG RAN WG1 Meeting #</w:t>
      </w:r>
      <w:r w:rsidRPr="001D51B5">
        <w:rPr>
          <w:rFonts w:eastAsia="MS Mincho" w:cs="Arial"/>
          <w:bCs/>
          <w:sz w:val="24"/>
          <w:szCs w:val="24"/>
          <w:lang w:eastAsia="ja-JP"/>
        </w:rPr>
        <w:t>84</w:t>
      </w:r>
      <w:r w:rsidRPr="001D51B5">
        <w:rPr>
          <w:rFonts w:eastAsia="MS Mincho" w:cs="Arial"/>
          <w:bCs/>
          <w:sz w:val="24"/>
          <w:szCs w:val="24"/>
          <w:lang w:eastAsia="ja-JP"/>
        </w:rPr>
        <w:tab/>
      </w:r>
      <w:r w:rsidRPr="001D51B5">
        <w:rPr>
          <w:rFonts w:eastAsia="MS Mincho" w:cs="Arial"/>
          <w:bCs/>
          <w:sz w:val="24"/>
          <w:szCs w:val="24"/>
          <w:lang w:eastAsia="ja-JP"/>
        </w:rPr>
        <w:tab/>
        <w:t>R1-</w:t>
      </w:r>
      <w:r w:rsidR="00DB474E">
        <w:rPr>
          <w:rFonts w:eastAsia="MS Mincho" w:cs="Arial"/>
          <w:bCs/>
          <w:sz w:val="24"/>
          <w:szCs w:val="24"/>
          <w:lang w:eastAsia="ja-JP"/>
        </w:rPr>
        <w:t>161090</w:t>
      </w:r>
    </w:p>
    <w:p w:rsidR="001D51B5" w:rsidRPr="001D51B5" w:rsidRDefault="001D51B5" w:rsidP="001D51B5">
      <w:pPr>
        <w:pStyle w:val="Header"/>
        <w:rPr>
          <w:rFonts w:eastAsia="MS Mincho" w:cs="Arial"/>
          <w:bCs/>
          <w:sz w:val="24"/>
          <w:szCs w:val="24"/>
          <w:lang w:val="en-US" w:eastAsia="ja-JP"/>
        </w:rPr>
      </w:pPr>
      <w:r w:rsidRPr="001D51B5">
        <w:rPr>
          <w:rFonts w:eastAsia="MS Mincho" w:cs="Arial"/>
          <w:bCs/>
          <w:sz w:val="24"/>
          <w:szCs w:val="24"/>
          <w:lang w:val="en-US" w:eastAsia="ja-JP"/>
        </w:rPr>
        <w:t>St Julian’s, Malta, 15</w:t>
      </w:r>
      <w:r w:rsidRPr="001D51B5">
        <w:rPr>
          <w:rFonts w:eastAsia="MS Mincho" w:cs="Arial"/>
          <w:bCs/>
          <w:sz w:val="24"/>
          <w:szCs w:val="24"/>
          <w:vertAlign w:val="superscript"/>
          <w:lang w:val="en-US" w:eastAsia="ja-JP"/>
        </w:rPr>
        <w:t>th</w:t>
      </w:r>
      <w:r w:rsidRPr="001D51B5">
        <w:rPr>
          <w:rFonts w:eastAsia="MS Mincho" w:cs="Arial"/>
          <w:bCs/>
          <w:sz w:val="24"/>
          <w:szCs w:val="24"/>
          <w:lang w:val="en-US" w:eastAsia="ja-JP"/>
        </w:rPr>
        <w:t xml:space="preserve"> - 19</w:t>
      </w:r>
      <w:r w:rsidRPr="001D51B5">
        <w:rPr>
          <w:rFonts w:eastAsia="MS Mincho" w:cs="Arial"/>
          <w:bCs/>
          <w:sz w:val="24"/>
          <w:szCs w:val="24"/>
          <w:vertAlign w:val="superscript"/>
          <w:lang w:val="en-US" w:eastAsia="ja-JP"/>
        </w:rPr>
        <w:t>th</w:t>
      </w:r>
      <w:r w:rsidRPr="001D51B5">
        <w:rPr>
          <w:rFonts w:eastAsia="MS Mincho" w:cs="Arial"/>
          <w:bCs/>
          <w:sz w:val="24"/>
          <w:szCs w:val="24"/>
          <w:lang w:val="en-US" w:eastAsia="ja-JP"/>
        </w:rPr>
        <w:t xml:space="preserve"> February 2016</w:t>
      </w:r>
    </w:p>
    <w:p w:rsidR="00005DBD" w:rsidRPr="00435205" w:rsidRDefault="00005DBD" w:rsidP="00005DBD">
      <w:pPr>
        <w:pStyle w:val="FootnoteText"/>
        <w:rPr>
          <w:lang w:val="en-US"/>
        </w:rPr>
      </w:pPr>
    </w:p>
    <w:p w:rsidR="00005DBD" w:rsidRPr="00435205" w:rsidRDefault="00005DBD" w:rsidP="00005DBD">
      <w:pPr>
        <w:pStyle w:val="TdocHeader2"/>
        <w:jc w:val="left"/>
        <w:rPr>
          <w:sz w:val="20"/>
          <w:lang w:val="en-US"/>
        </w:rPr>
      </w:pPr>
      <w:r w:rsidRPr="00435205">
        <w:rPr>
          <w:sz w:val="20"/>
          <w:lang w:val="en-US"/>
        </w:rPr>
        <w:t xml:space="preserve">Source: </w:t>
      </w:r>
      <w:r w:rsidRPr="00435205">
        <w:rPr>
          <w:sz w:val="20"/>
          <w:lang w:val="en-US"/>
        </w:rPr>
        <w:tab/>
        <w:t>Ericsson</w:t>
      </w:r>
    </w:p>
    <w:p w:rsidR="00005DBD" w:rsidRPr="00435205" w:rsidRDefault="00005DBD" w:rsidP="00005DBD">
      <w:pPr>
        <w:pStyle w:val="TdocHeader2"/>
        <w:jc w:val="left"/>
        <w:rPr>
          <w:sz w:val="20"/>
          <w:lang w:val="en-US"/>
        </w:rPr>
      </w:pPr>
      <w:r w:rsidRPr="00435205">
        <w:rPr>
          <w:sz w:val="20"/>
          <w:lang w:val="en-US"/>
        </w:rPr>
        <w:t>Title:</w:t>
      </w:r>
      <w:bookmarkStart w:id="3" w:name="Title"/>
      <w:bookmarkEnd w:id="3"/>
      <w:r w:rsidRPr="00435205">
        <w:rPr>
          <w:sz w:val="20"/>
          <w:lang w:val="en-US"/>
        </w:rPr>
        <w:tab/>
      </w:r>
      <w:r w:rsidR="007C61B9">
        <w:rPr>
          <w:sz w:val="20"/>
          <w:lang w:val="en-US"/>
        </w:rPr>
        <w:t xml:space="preserve">Other PC5 Enhancements </w:t>
      </w:r>
      <w:r w:rsidR="001D51B5" w:rsidRPr="00435205">
        <w:rPr>
          <w:sz w:val="20"/>
          <w:lang w:val="en-US"/>
        </w:rPr>
        <w:t>for V2X</w:t>
      </w:r>
    </w:p>
    <w:p w:rsidR="00005DBD" w:rsidRPr="00435205" w:rsidRDefault="00005DBD" w:rsidP="00005DBD">
      <w:pPr>
        <w:pStyle w:val="TdocHeader2"/>
        <w:jc w:val="left"/>
        <w:rPr>
          <w:sz w:val="20"/>
          <w:lang w:val="en-US"/>
        </w:rPr>
      </w:pPr>
      <w:r w:rsidRPr="00435205">
        <w:rPr>
          <w:sz w:val="20"/>
          <w:lang w:val="en-US"/>
        </w:rPr>
        <w:t>Agenda Item:</w:t>
      </w:r>
      <w:r w:rsidRPr="00435205">
        <w:rPr>
          <w:sz w:val="20"/>
          <w:lang w:val="en-US"/>
        </w:rPr>
        <w:tab/>
      </w:r>
      <w:r w:rsidR="00435205" w:rsidRPr="00435205">
        <w:rPr>
          <w:sz w:val="20"/>
          <w:lang w:val="en-US"/>
        </w:rPr>
        <w:t>7.3.3.2</w:t>
      </w:r>
      <w:r w:rsidR="000905DD">
        <w:rPr>
          <w:sz w:val="20"/>
          <w:lang w:val="en-US"/>
        </w:rPr>
        <w:t>.4</w:t>
      </w:r>
    </w:p>
    <w:p w:rsidR="00005DBD" w:rsidRPr="007F1723" w:rsidRDefault="00005DBD" w:rsidP="00005DBD">
      <w:pPr>
        <w:pStyle w:val="TdocHeader2"/>
        <w:jc w:val="left"/>
        <w:rPr>
          <w:sz w:val="20"/>
          <w:lang w:val="en-US"/>
        </w:rPr>
      </w:pPr>
      <w:r w:rsidRPr="00435205">
        <w:rPr>
          <w:sz w:val="20"/>
          <w:lang w:val="en-US"/>
        </w:rPr>
        <w:t>Document for:</w:t>
      </w:r>
      <w:r w:rsidRPr="00435205">
        <w:rPr>
          <w:sz w:val="20"/>
          <w:lang w:val="en-US"/>
        </w:rPr>
        <w:tab/>
        <w:t>Discussion and Decision</w:t>
      </w:r>
    </w:p>
    <w:bookmarkEnd w:id="0"/>
    <w:bookmarkEnd w:id="1"/>
    <w:p w:rsidR="00D77223" w:rsidRDefault="00D77223" w:rsidP="008A63F4">
      <w:pPr>
        <w:pStyle w:val="Heading1"/>
      </w:pPr>
      <w:r w:rsidRPr="007F1723">
        <w:t>Introduction</w:t>
      </w:r>
    </w:p>
    <w:p w:rsidR="007C61B9" w:rsidRDefault="001D51B5" w:rsidP="007C61B9">
      <w:pPr>
        <w:pStyle w:val="BodyText"/>
        <w:spacing w:after="240"/>
        <w:rPr>
          <w:spacing w:val="2"/>
          <w:sz w:val="20"/>
          <w:szCs w:val="20"/>
        </w:rPr>
      </w:pPr>
      <w:r>
        <w:rPr>
          <w:spacing w:val="2"/>
          <w:sz w:val="20"/>
          <w:szCs w:val="20"/>
        </w:rPr>
        <w:t xml:space="preserve">In this paper we discuss enhancements to the </w:t>
      </w:r>
      <w:r w:rsidR="007C61B9">
        <w:rPr>
          <w:spacing w:val="2"/>
          <w:sz w:val="20"/>
          <w:szCs w:val="20"/>
        </w:rPr>
        <w:t>PC5</w:t>
      </w:r>
      <w:r>
        <w:rPr>
          <w:spacing w:val="2"/>
          <w:sz w:val="20"/>
          <w:szCs w:val="20"/>
        </w:rPr>
        <w:t xml:space="preserve"> interface with focus on V2X applications. </w:t>
      </w:r>
    </w:p>
    <w:p w:rsidR="007C61B9" w:rsidRPr="001528E2" w:rsidRDefault="007C61B9" w:rsidP="007C61B9">
      <w:pPr>
        <w:pStyle w:val="Heading1"/>
      </w:pPr>
      <w:r>
        <w:t>Optimizations for V2P over PC5</w:t>
      </w:r>
    </w:p>
    <w:p w:rsidR="007C61B9" w:rsidRDefault="007C61B9" w:rsidP="007C61B9">
      <w:pPr>
        <w:pStyle w:val="BodyText"/>
        <w:spacing w:after="240"/>
        <w:rPr>
          <w:spacing w:val="2"/>
          <w:sz w:val="20"/>
          <w:szCs w:val="20"/>
        </w:rPr>
      </w:pPr>
      <w:r>
        <w:rPr>
          <w:spacing w:val="2"/>
          <w:sz w:val="20"/>
          <w:szCs w:val="20"/>
        </w:rPr>
        <w:t xml:space="preserve">With V2P we intend the operation involving ITS traffic/services, where one of the involved nodes is a battery-supplied device, typically a smartphone. The primary optimizations that may be considered for such devices </w:t>
      </w:r>
      <w:r w:rsidR="001831A8">
        <w:rPr>
          <w:spacing w:val="2"/>
          <w:sz w:val="20"/>
          <w:szCs w:val="20"/>
        </w:rPr>
        <w:t xml:space="preserve">should focus on complexity reduction as well as energy reduction. We believe that most of the V2P traffic will anyway be carried over </w:t>
      </w:r>
      <w:proofErr w:type="spellStart"/>
      <w:r w:rsidR="001831A8">
        <w:rPr>
          <w:spacing w:val="2"/>
          <w:sz w:val="20"/>
          <w:szCs w:val="20"/>
        </w:rPr>
        <w:t>Uu</w:t>
      </w:r>
      <w:proofErr w:type="spellEnd"/>
      <w:r w:rsidR="001831A8">
        <w:rPr>
          <w:spacing w:val="2"/>
          <w:sz w:val="20"/>
          <w:szCs w:val="20"/>
        </w:rPr>
        <w:t xml:space="preserve"> and we thus see such optimizations as low priority. We are also skeptical to any potential V2P optimizations that might result in degraded system performance for other V2X services due to limited capabilities for the pedestrian terminals.</w:t>
      </w:r>
    </w:p>
    <w:p w:rsidR="001831A8" w:rsidRPr="001831A8" w:rsidRDefault="001831A8" w:rsidP="001831A8">
      <w:pPr>
        <w:rPr>
          <w:b/>
          <w:i/>
        </w:rPr>
      </w:pPr>
      <w:r w:rsidRPr="001831A8">
        <w:rPr>
          <w:b/>
          <w:i/>
        </w:rPr>
        <w:t>Observations:</w:t>
      </w:r>
    </w:p>
    <w:p w:rsidR="001831A8" w:rsidRPr="001831A8" w:rsidRDefault="001831A8" w:rsidP="001831A8">
      <w:pPr>
        <w:pStyle w:val="ListParagraph"/>
        <w:numPr>
          <w:ilvl w:val="0"/>
          <w:numId w:val="29"/>
        </w:numPr>
        <w:rPr>
          <w:rFonts w:ascii="Times New Roman" w:hAnsi="Times New Roman" w:cs="Times New Roman"/>
          <w:b/>
          <w:i/>
          <w:sz w:val="20"/>
          <w:szCs w:val="20"/>
        </w:rPr>
      </w:pPr>
      <w:r w:rsidRPr="001831A8">
        <w:rPr>
          <w:rFonts w:ascii="Times New Roman" w:hAnsi="Times New Roman" w:cs="Times New Roman"/>
          <w:b/>
          <w:i/>
          <w:sz w:val="20"/>
          <w:szCs w:val="20"/>
        </w:rPr>
        <w:t xml:space="preserve">Most V2P traffic will likely be carried over </w:t>
      </w:r>
      <w:proofErr w:type="spellStart"/>
      <w:r w:rsidRPr="001831A8">
        <w:rPr>
          <w:rFonts w:ascii="Times New Roman" w:hAnsi="Times New Roman" w:cs="Times New Roman"/>
          <w:b/>
          <w:i/>
          <w:sz w:val="20"/>
          <w:szCs w:val="20"/>
        </w:rPr>
        <w:t>Uu</w:t>
      </w:r>
      <w:proofErr w:type="spellEnd"/>
      <w:r w:rsidRPr="001831A8">
        <w:rPr>
          <w:rFonts w:ascii="Times New Roman" w:hAnsi="Times New Roman" w:cs="Times New Roman"/>
          <w:b/>
          <w:i/>
          <w:sz w:val="20"/>
          <w:szCs w:val="20"/>
        </w:rPr>
        <w:t>. We consider PC5 optimizations for V2P as low priority.</w:t>
      </w:r>
    </w:p>
    <w:p w:rsidR="001831A8" w:rsidRPr="001831A8" w:rsidRDefault="001831A8" w:rsidP="001831A8">
      <w:pPr>
        <w:pStyle w:val="ListParagraph"/>
        <w:numPr>
          <w:ilvl w:val="0"/>
          <w:numId w:val="29"/>
        </w:numPr>
        <w:rPr>
          <w:rFonts w:ascii="Times New Roman" w:hAnsi="Times New Roman" w:cs="Times New Roman"/>
          <w:b/>
          <w:i/>
          <w:sz w:val="20"/>
          <w:szCs w:val="20"/>
        </w:rPr>
      </w:pPr>
      <w:r w:rsidRPr="001831A8">
        <w:rPr>
          <w:rFonts w:ascii="Times New Roman" w:hAnsi="Times New Roman" w:cs="Times New Roman"/>
          <w:b/>
          <w:i/>
          <w:sz w:val="20"/>
          <w:szCs w:val="20"/>
        </w:rPr>
        <w:t>V2P optimizations should focus on reduced energy and complexity.</w:t>
      </w:r>
    </w:p>
    <w:p w:rsidR="001831A8" w:rsidRDefault="001831A8" w:rsidP="001831A8">
      <w:pPr>
        <w:pStyle w:val="BodyText"/>
        <w:spacing w:after="240"/>
        <w:rPr>
          <w:spacing w:val="2"/>
          <w:sz w:val="20"/>
          <w:szCs w:val="20"/>
        </w:rPr>
      </w:pPr>
    </w:p>
    <w:p w:rsidR="001831A8" w:rsidRDefault="000E5DA4" w:rsidP="001831A8">
      <w:pPr>
        <w:pStyle w:val="BodyText"/>
        <w:spacing w:after="240"/>
        <w:rPr>
          <w:spacing w:val="2"/>
          <w:sz w:val="20"/>
          <w:szCs w:val="20"/>
        </w:rPr>
      </w:pPr>
      <w:r>
        <w:rPr>
          <w:spacing w:val="2"/>
          <w:sz w:val="20"/>
          <w:szCs w:val="20"/>
        </w:rPr>
        <w:t xml:space="preserve">An interesting scenario is the one where pedestrian UEs have limited PC5 capabilities, i.e., they are only able to transmit but not receive PC5. This is </w:t>
      </w:r>
      <w:proofErr w:type="spellStart"/>
      <w:r>
        <w:rPr>
          <w:spacing w:val="2"/>
          <w:sz w:val="20"/>
          <w:szCs w:val="20"/>
        </w:rPr>
        <w:t>conveniente</w:t>
      </w:r>
      <w:proofErr w:type="spellEnd"/>
      <w:r>
        <w:rPr>
          <w:spacing w:val="2"/>
          <w:sz w:val="20"/>
          <w:szCs w:val="20"/>
        </w:rPr>
        <w:t xml:space="preserve"> both from energy and complexity perspectives and enables anyway a wide range of V2P applications. The transmitted V2P messages should be received by any V2X device with PC5 reception capability. The pedestrian can of course be reached by the V2X server using </w:t>
      </w:r>
      <w:proofErr w:type="spellStart"/>
      <w:r>
        <w:rPr>
          <w:spacing w:val="2"/>
          <w:sz w:val="20"/>
          <w:szCs w:val="20"/>
        </w:rPr>
        <w:t>Uu</w:t>
      </w:r>
      <w:proofErr w:type="spellEnd"/>
      <w:r>
        <w:rPr>
          <w:spacing w:val="2"/>
          <w:sz w:val="20"/>
          <w:szCs w:val="20"/>
        </w:rPr>
        <w:t>.</w:t>
      </w:r>
    </w:p>
    <w:p w:rsidR="000E5DA4" w:rsidRPr="001831A8" w:rsidRDefault="000E5DA4" w:rsidP="000E5DA4">
      <w:pPr>
        <w:rPr>
          <w:b/>
          <w:i/>
        </w:rPr>
      </w:pPr>
      <w:r>
        <w:rPr>
          <w:b/>
          <w:i/>
        </w:rPr>
        <w:t>Proposal</w:t>
      </w:r>
      <w:r w:rsidRPr="001831A8">
        <w:rPr>
          <w:b/>
          <w:i/>
        </w:rPr>
        <w:t>:</w:t>
      </w:r>
    </w:p>
    <w:p w:rsidR="000E5DA4" w:rsidRPr="001B3C19" w:rsidRDefault="000E5DA4" w:rsidP="000E5DA4">
      <w:pPr>
        <w:pStyle w:val="ListParagraph"/>
        <w:numPr>
          <w:ilvl w:val="0"/>
          <w:numId w:val="29"/>
        </w:numPr>
        <w:rPr>
          <w:spacing w:val="2"/>
          <w:sz w:val="20"/>
          <w:szCs w:val="20"/>
        </w:rPr>
      </w:pPr>
      <w:r>
        <w:rPr>
          <w:rFonts w:ascii="Times New Roman" w:hAnsi="Times New Roman" w:cs="Times New Roman"/>
          <w:b/>
          <w:i/>
          <w:sz w:val="20"/>
          <w:szCs w:val="20"/>
        </w:rPr>
        <w:t xml:space="preserve">Consider </w:t>
      </w:r>
      <w:r w:rsidR="001B3C19">
        <w:rPr>
          <w:rFonts w:ascii="Times New Roman" w:hAnsi="Times New Roman" w:cs="Times New Roman"/>
          <w:b/>
          <w:i/>
          <w:sz w:val="20"/>
          <w:szCs w:val="20"/>
        </w:rPr>
        <w:t>pedestrian UEs with limited PC5 capabilities which are only able to transmit over PC5.</w:t>
      </w:r>
    </w:p>
    <w:p w:rsidR="001B3C19" w:rsidRDefault="001B3C19" w:rsidP="001B3C19">
      <w:pPr>
        <w:pStyle w:val="ListParagraph"/>
        <w:rPr>
          <w:spacing w:val="2"/>
          <w:sz w:val="20"/>
          <w:szCs w:val="20"/>
        </w:rPr>
      </w:pPr>
    </w:p>
    <w:p w:rsidR="000E5DA4" w:rsidRPr="001831A8" w:rsidRDefault="000E5DA4" w:rsidP="001831A8">
      <w:pPr>
        <w:pStyle w:val="BodyText"/>
        <w:spacing w:after="240"/>
        <w:rPr>
          <w:spacing w:val="2"/>
          <w:sz w:val="20"/>
          <w:szCs w:val="20"/>
        </w:rPr>
      </w:pPr>
      <w:r>
        <w:rPr>
          <w:spacing w:val="2"/>
          <w:sz w:val="20"/>
          <w:szCs w:val="20"/>
        </w:rPr>
        <w:t xml:space="preserve">Another useful enhancement consists of defining a resource pool reserved for use by pedestrian transmitters. This is because pedestrian devices may use a different (simpler) PC5 resource selection algorithm compared to vehicular devices and it is preferable to allow </w:t>
      </w:r>
      <w:proofErr w:type="spellStart"/>
      <w:r>
        <w:rPr>
          <w:spacing w:val="2"/>
          <w:sz w:val="20"/>
          <w:szCs w:val="20"/>
        </w:rPr>
        <w:t>orthogonalization</w:t>
      </w:r>
      <w:proofErr w:type="spellEnd"/>
      <w:r>
        <w:rPr>
          <w:spacing w:val="2"/>
          <w:sz w:val="20"/>
          <w:szCs w:val="20"/>
        </w:rPr>
        <w:t xml:space="preserve"> of such resources.</w:t>
      </w:r>
    </w:p>
    <w:p w:rsidR="000E5DA4" w:rsidRPr="001831A8" w:rsidRDefault="001B3C19" w:rsidP="000E5DA4">
      <w:pPr>
        <w:rPr>
          <w:b/>
          <w:i/>
        </w:rPr>
      </w:pPr>
      <w:r>
        <w:rPr>
          <w:b/>
          <w:i/>
        </w:rPr>
        <w:t>Proposal</w:t>
      </w:r>
      <w:r w:rsidR="000E5DA4" w:rsidRPr="001831A8">
        <w:rPr>
          <w:b/>
          <w:i/>
        </w:rPr>
        <w:t>:</w:t>
      </w:r>
    </w:p>
    <w:p w:rsidR="000E5DA4" w:rsidRPr="001831A8" w:rsidRDefault="001B3C19" w:rsidP="000E5DA4">
      <w:pPr>
        <w:pStyle w:val="ListParagraph"/>
        <w:numPr>
          <w:ilvl w:val="0"/>
          <w:numId w:val="29"/>
        </w:numPr>
        <w:rPr>
          <w:rFonts w:ascii="Times New Roman" w:hAnsi="Times New Roman" w:cs="Times New Roman"/>
          <w:b/>
          <w:i/>
          <w:sz w:val="20"/>
          <w:szCs w:val="20"/>
        </w:rPr>
      </w:pPr>
      <w:r>
        <w:rPr>
          <w:rFonts w:ascii="Times New Roman" w:hAnsi="Times New Roman" w:cs="Times New Roman"/>
          <w:b/>
          <w:i/>
          <w:sz w:val="20"/>
          <w:szCs w:val="20"/>
        </w:rPr>
        <w:t>Consider the introduction of a P2X resource pool, reserved for use by pedestrian UEs</w:t>
      </w:r>
      <w:r w:rsidR="000E5DA4" w:rsidRPr="001831A8">
        <w:rPr>
          <w:rFonts w:ascii="Times New Roman" w:hAnsi="Times New Roman" w:cs="Times New Roman"/>
          <w:b/>
          <w:i/>
          <w:sz w:val="20"/>
          <w:szCs w:val="20"/>
        </w:rPr>
        <w:t>.</w:t>
      </w:r>
    </w:p>
    <w:p w:rsidR="007C61B9" w:rsidRDefault="007C61B9" w:rsidP="007C61B9">
      <w:pPr>
        <w:pStyle w:val="BodyText"/>
        <w:spacing w:after="240"/>
        <w:rPr>
          <w:spacing w:val="2"/>
          <w:sz w:val="20"/>
          <w:szCs w:val="20"/>
        </w:rPr>
      </w:pPr>
    </w:p>
    <w:p w:rsidR="001528E2" w:rsidRPr="001528E2" w:rsidRDefault="001528E2" w:rsidP="007C61B9">
      <w:pPr>
        <w:pStyle w:val="Heading1"/>
      </w:pPr>
      <w:r w:rsidRPr="001528E2">
        <w:t>PC5-related enhancements for HO</w:t>
      </w:r>
    </w:p>
    <w:p w:rsidR="001528E2" w:rsidRPr="001528E2" w:rsidRDefault="001528E2" w:rsidP="001528E2">
      <w:r w:rsidRPr="001528E2">
        <w:t xml:space="preserve">Similar to </w:t>
      </w:r>
      <w:proofErr w:type="spellStart"/>
      <w:r w:rsidRPr="001528E2">
        <w:t>Uu</w:t>
      </w:r>
      <w:proofErr w:type="spellEnd"/>
      <w:r w:rsidRPr="001528E2">
        <w:t xml:space="preserve">, also UEs engaged in PC5 communications are subject to latency when performing handover. Looking at </w:t>
      </w:r>
      <w:proofErr w:type="spellStart"/>
      <w:r w:rsidRPr="001528E2">
        <w:t>ProSe</w:t>
      </w:r>
      <w:proofErr w:type="spellEnd"/>
      <w:r w:rsidRPr="001528E2">
        <w:t xml:space="preserve">, a UE before continuing an ongoing PC5 session after handover command needs to wait for the target cell sending a </w:t>
      </w:r>
      <w:r w:rsidR="001B3C19">
        <w:t>sidelink</w:t>
      </w:r>
      <w:r w:rsidRPr="001528E2">
        <w:t xml:space="preserve"> grant on PDCCH or dedicated signalling (if in connected mode) indicating mode 1 and mode 2 resource allocation respectively. To reduce this PC5 service interruption issue some alternatives are possible.</w:t>
      </w:r>
    </w:p>
    <w:p w:rsidR="001528E2" w:rsidRDefault="001528E2" w:rsidP="001528E2">
      <w:r w:rsidRPr="001528E2">
        <w:t xml:space="preserve">For UEs in connected mode, target cell PC5 resources </w:t>
      </w:r>
      <w:r w:rsidR="00C57747">
        <w:t>as well as information about synchronization configuration in the target cell can be</w:t>
      </w:r>
      <w:r w:rsidRPr="001528E2">
        <w:t xml:space="preserve"> transferred via handover command. </w:t>
      </w:r>
      <w:r w:rsidR="00C57747">
        <w:t xml:space="preserve">For example if the target cell uses GNSS-based synchronization for sidelink the UE may continue PC5 operations virtually without any interruption during the handover operation. </w:t>
      </w:r>
    </w:p>
    <w:p w:rsidR="00C57747" w:rsidRPr="00C57747" w:rsidRDefault="00C57747" w:rsidP="001528E2">
      <w:pPr>
        <w:rPr>
          <w:b/>
          <w:i/>
        </w:rPr>
      </w:pPr>
      <w:r w:rsidRPr="00C57747">
        <w:rPr>
          <w:b/>
          <w:i/>
        </w:rPr>
        <w:t>Proposal</w:t>
      </w:r>
      <w:r w:rsidR="001B3C19">
        <w:rPr>
          <w:b/>
          <w:i/>
        </w:rPr>
        <w:t>s</w:t>
      </w:r>
      <w:r w:rsidRPr="00C57747">
        <w:rPr>
          <w:b/>
          <w:i/>
        </w:rPr>
        <w:t>:</w:t>
      </w:r>
    </w:p>
    <w:p w:rsidR="001528E2" w:rsidRDefault="001528E2" w:rsidP="00C57747">
      <w:pPr>
        <w:pStyle w:val="ListParagraph"/>
        <w:numPr>
          <w:ilvl w:val="0"/>
          <w:numId w:val="27"/>
        </w:numPr>
        <w:rPr>
          <w:rFonts w:ascii="Times New Roman" w:hAnsi="Times New Roman" w:cs="Times New Roman"/>
          <w:b/>
          <w:i/>
          <w:sz w:val="20"/>
          <w:szCs w:val="20"/>
        </w:rPr>
      </w:pPr>
      <w:bookmarkStart w:id="4" w:name="_Toc441533818"/>
      <w:bookmarkStart w:id="5" w:name="_Toc441576732"/>
      <w:bookmarkStart w:id="6" w:name="_Toc442112110"/>
      <w:bookmarkStart w:id="7" w:name="_Toc442106021"/>
      <w:bookmarkStart w:id="8" w:name="_Toc442106291"/>
      <w:bookmarkStart w:id="9" w:name="_Toc442107533"/>
      <w:r w:rsidRPr="00C57747">
        <w:rPr>
          <w:rFonts w:ascii="Times New Roman" w:hAnsi="Times New Roman" w:cs="Times New Roman"/>
          <w:b/>
          <w:i/>
          <w:sz w:val="20"/>
          <w:szCs w:val="20"/>
        </w:rPr>
        <w:t>PC5 resources of target cell</w:t>
      </w:r>
      <w:r w:rsidR="00C57747" w:rsidRPr="00C57747">
        <w:rPr>
          <w:rFonts w:ascii="Times New Roman" w:hAnsi="Times New Roman" w:cs="Times New Roman"/>
          <w:b/>
          <w:i/>
          <w:sz w:val="20"/>
          <w:szCs w:val="20"/>
        </w:rPr>
        <w:t xml:space="preserve"> as well as PC5 synchronization configuration</w:t>
      </w:r>
      <w:r w:rsidRPr="00C57747">
        <w:rPr>
          <w:rFonts w:ascii="Times New Roman" w:hAnsi="Times New Roman" w:cs="Times New Roman"/>
          <w:b/>
          <w:i/>
          <w:sz w:val="20"/>
          <w:szCs w:val="20"/>
        </w:rPr>
        <w:t xml:space="preserve"> can be signalled to the UE via the handover command.</w:t>
      </w:r>
      <w:bookmarkEnd w:id="4"/>
      <w:bookmarkEnd w:id="5"/>
      <w:bookmarkEnd w:id="6"/>
      <w:bookmarkEnd w:id="7"/>
      <w:bookmarkEnd w:id="8"/>
      <w:bookmarkEnd w:id="9"/>
    </w:p>
    <w:p w:rsidR="007C61B9" w:rsidRPr="000E5DA4" w:rsidRDefault="00C57747" w:rsidP="000E5DA4">
      <w:pPr>
        <w:pStyle w:val="ListParagraph"/>
        <w:numPr>
          <w:ilvl w:val="0"/>
          <w:numId w:val="27"/>
        </w:numPr>
        <w:rPr>
          <w:rFonts w:ascii="Times New Roman" w:hAnsi="Times New Roman" w:cs="Times New Roman"/>
          <w:b/>
          <w:i/>
          <w:sz w:val="20"/>
          <w:szCs w:val="20"/>
        </w:rPr>
      </w:pPr>
      <w:r>
        <w:rPr>
          <w:rFonts w:ascii="Times New Roman" w:hAnsi="Times New Roman" w:cs="Times New Roman"/>
          <w:b/>
          <w:i/>
          <w:sz w:val="20"/>
          <w:szCs w:val="20"/>
        </w:rPr>
        <w:t>The UE can avoid interruption of sidelink operation during HO at least if the source and target cell use the same GNSS synchronization reference.</w:t>
      </w:r>
      <w:r>
        <w:rPr>
          <w:rFonts w:ascii="Times New Roman" w:hAnsi="Times New Roman" w:cs="Times New Roman"/>
          <w:b/>
          <w:i/>
          <w:sz w:val="20"/>
          <w:szCs w:val="20"/>
        </w:rPr>
        <w:br/>
      </w:r>
    </w:p>
    <w:p w:rsidR="00D0339F" w:rsidRPr="00744368" w:rsidRDefault="00D0339F" w:rsidP="00BB2B22">
      <w:pPr>
        <w:pStyle w:val="Heading1"/>
      </w:pPr>
      <w:r w:rsidRPr="00744368">
        <w:lastRenderedPageBreak/>
        <w:t>Conclusions</w:t>
      </w:r>
      <w:r w:rsidR="00A11B11" w:rsidRPr="00744368">
        <w:t xml:space="preserve"> </w:t>
      </w:r>
    </w:p>
    <w:p w:rsidR="00DF6D79" w:rsidRPr="00771023" w:rsidRDefault="00A90703" w:rsidP="00DF6D79">
      <w:pPr>
        <w:pStyle w:val="BodyText"/>
        <w:spacing w:after="240"/>
        <w:jc w:val="both"/>
        <w:rPr>
          <w:b/>
          <w:i/>
        </w:rPr>
      </w:pPr>
      <w:r w:rsidRPr="00A90703">
        <w:rPr>
          <w:spacing w:val="2"/>
          <w:sz w:val="20"/>
          <w:szCs w:val="20"/>
        </w:rPr>
        <w:t xml:space="preserve">In this contribution we discuss </w:t>
      </w:r>
      <w:r w:rsidR="001B3C19">
        <w:rPr>
          <w:spacing w:val="2"/>
          <w:sz w:val="20"/>
          <w:szCs w:val="20"/>
        </w:rPr>
        <w:t>PC5 enhancements for the V2X SI.</w:t>
      </w:r>
    </w:p>
    <w:p w:rsidR="001B3C19" w:rsidRPr="001831A8" w:rsidRDefault="001B3C19" w:rsidP="001B3C19">
      <w:pPr>
        <w:rPr>
          <w:b/>
          <w:i/>
        </w:rPr>
      </w:pPr>
      <w:r w:rsidRPr="001831A8">
        <w:rPr>
          <w:b/>
          <w:i/>
        </w:rPr>
        <w:t>Observations:</w:t>
      </w:r>
    </w:p>
    <w:p w:rsidR="001B3C19" w:rsidRPr="001831A8" w:rsidRDefault="001B3C19" w:rsidP="001B3C19">
      <w:pPr>
        <w:pStyle w:val="ListParagraph"/>
        <w:numPr>
          <w:ilvl w:val="0"/>
          <w:numId w:val="29"/>
        </w:numPr>
        <w:rPr>
          <w:rFonts w:ascii="Times New Roman" w:hAnsi="Times New Roman" w:cs="Times New Roman"/>
          <w:b/>
          <w:i/>
          <w:sz w:val="20"/>
          <w:szCs w:val="20"/>
        </w:rPr>
      </w:pPr>
      <w:r w:rsidRPr="001831A8">
        <w:rPr>
          <w:rFonts w:ascii="Times New Roman" w:hAnsi="Times New Roman" w:cs="Times New Roman"/>
          <w:b/>
          <w:i/>
          <w:sz w:val="20"/>
          <w:szCs w:val="20"/>
        </w:rPr>
        <w:t xml:space="preserve">Most V2P traffic will likely be carried over </w:t>
      </w:r>
      <w:proofErr w:type="spellStart"/>
      <w:r w:rsidRPr="001831A8">
        <w:rPr>
          <w:rFonts w:ascii="Times New Roman" w:hAnsi="Times New Roman" w:cs="Times New Roman"/>
          <w:b/>
          <w:i/>
          <w:sz w:val="20"/>
          <w:szCs w:val="20"/>
        </w:rPr>
        <w:t>Uu</w:t>
      </w:r>
      <w:proofErr w:type="spellEnd"/>
      <w:r w:rsidRPr="001831A8">
        <w:rPr>
          <w:rFonts w:ascii="Times New Roman" w:hAnsi="Times New Roman" w:cs="Times New Roman"/>
          <w:b/>
          <w:i/>
          <w:sz w:val="20"/>
          <w:szCs w:val="20"/>
        </w:rPr>
        <w:t>. We consider PC5 optimizations for V2P as low priority.</w:t>
      </w:r>
    </w:p>
    <w:p w:rsidR="001B3C19" w:rsidRPr="001831A8" w:rsidRDefault="001B3C19" w:rsidP="001B3C19">
      <w:pPr>
        <w:pStyle w:val="ListParagraph"/>
        <w:numPr>
          <w:ilvl w:val="0"/>
          <w:numId w:val="29"/>
        </w:numPr>
        <w:rPr>
          <w:rFonts w:ascii="Times New Roman" w:hAnsi="Times New Roman" w:cs="Times New Roman"/>
          <w:b/>
          <w:i/>
          <w:sz w:val="20"/>
          <w:szCs w:val="20"/>
        </w:rPr>
      </w:pPr>
      <w:r w:rsidRPr="001831A8">
        <w:rPr>
          <w:rFonts w:ascii="Times New Roman" w:hAnsi="Times New Roman" w:cs="Times New Roman"/>
          <w:b/>
          <w:i/>
          <w:sz w:val="20"/>
          <w:szCs w:val="20"/>
        </w:rPr>
        <w:t>V2P optimizations should focus on reduced energy and complexity.</w:t>
      </w:r>
      <w:r>
        <w:rPr>
          <w:rFonts w:ascii="Times New Roman" w:hAnsi="Times New Roman" w:cs="Times New Roman"/>
          <w:b/>
          <w:i/>
          <w:sz w:val="20"/>
          <w:szCs w:val="20"/>
        </w:rPr>
        <w:br/>
      </w:r>
    </w:p>
    <w:p w:rsidR="001B3C19" w:rsidRPr="001831A8" w:rsidRDefault="001B3C19" w:rsidP="001B3C19">
      <w:pPr>
        <w:rPr>
          <w:b/>
          <w:i/>
        </w:rPr>
      </w:pPr>
      <w:r>
        <w:rPr>
          <w:b/>
          <w:i/>
        </w:rPr>
        <w:t>Proposals</w:t>
      </w:r>
      <w:r w:rsidRPr="001831A8">
        <w:rPr>
          <w:b/>
          <w:i/>
        </w:rPr>
        <w:t>:</w:t>
      </w:r>
    </w:p>
    <w:p w:rsidR="001B3C19" w:rsidRPr="001B3C19" w:rsidRDefault="001B3C19" w:rsidP="001B3C19">
      <w:pPr>
        <w:pStyle w:val="ListParagraph"/>
        <w:numPr>
          <w:ilvl w:val="0"/>
          <w:numId w:val="29"/>
        </w:numPr>
        <w:rPr>
          <w:spacing w:val="2"/>
          <w:sz w:val="20"/>
          <w:szCs w:val="20"/>
        </w:rPr>
      </w:pPr>
      <w:r>
        <w:rPr>
          <w:rFonts w:ascii="Times New Roman" w:hAnsi="Times New Roman" w:cs="Times New Roman"/>
          <w:b/>
          <w:i/>
          <w:sz w:val="20"/>
          <w:szCs w:val="20"/>
        </w:rPr>
        <w:t>Consider pedestrian UEs with limited PC5 capabilities which are only able to transmit over PC5.</w:t>
      </w:r>
    </w:p>
    <w:p w:rsidR="001B3C19" w:rsidRPr="001831A8" w:rsidRDefault="001B3C19" w:rsidP="001B3C19">
      <w:pPr>
        <w:pStyle w:val="ListParagraph"/>
        <w:numPr>
          <w:ilvl w:val="0"/>
          <w:numId w:val="29"/>
        </w:numPr>
        <w:rPr>
          <w:rFonts w:ascii="Times New Roman" w:hAnsi="Times New Roman" w:cs="Times New Roman"/>
          <w:b/>
          <w:i/>
          <w:sz w:val="20"/>
          <w:szCs w:val="20"/>
        </w:rPr>
      </w:pPr>
      <w:r>
        <w:rPr>
          <w:rFonts w:ascii="Times New Roman" w:hAnsi="Times New Roman" w:cs="Times New Roman"/>
          <w:b/>
          <w:i/>
          <w:sz w:val="20"/>
          <w:szCs w:val="20"/>
        </w:rPr>
        <w:t>Consider the introduction of a P2X resource pool, reserved for use by pedestrian UEs</w:t>
      </w:r>
      <w:r w:rsidRPr="001831A8">
        <w:rPr>
          <w:rFonts w:ascii="Times New Roman" w:hAnsi="Times New Roman" w:cs="Times New Roman"/>
          <w:b/>
          <w:i/>
          <w:sz w:val="20"/>
          <w:szCs w:val="20"/>
        </w:rPr>
        <w:t>.</w:t>
      </w:r>
    </w:p>
    <w:p w:rsidR="001B3C19" w:rsidRDefault="001B3C19" w:rsidP="001B3C19">
      <w:pPr>
        <w:pStyle w:val="ListParagraph"/>
        <w:numPr>
          <w:ilvl w:val="0"/>
          <w:numId w:val="27"/>
        </w:numPr>
        <w:rPr>
          <w:rFonts w:ascii="Times New Roman" w:hAnsi="Times New Roman" w:cs="Times New Roman"/>
          <w:b/>
          <w:i/>
          <w:sz w:val="20"/>
          <w:szCs w:val="20"/>
        </w:rPr>
      </w:pPr>
      <w:r w:rsidRPr="00C57747">
        <w:rPr>
          <w:rFonts w:ascii="Times New Roman" w:hAnsi="Times New Roman" w:cs="Times New Roman"/>
          <w:b/>
          <w:i/>
          <w:sz w:val="20"/>
          <w:szCs w:val="20"/>
        </w:rPr>
        <w:t xml:space="preserve">PC5 resources of target cell as well as PC5 synchronization configuration can be </w:t>
      </w:r>
      <w:proofErr w:type="spellStart"/>
      <w:r w:rsidRPr="00C57747">
        <w:rPr>
          <w:rFonts w:ascii="Times New Roman" w:hAnsi="Times New Roman" w:cs="Times New Roman"/>
          <w:b/>
          <w:i/>
          <w:sz w:val="20"/>
          <w:szCs w:val="20"/>
        </w:rPr>
        <w:t>signalled</w:t>
      </w:r>
      <w:proofErr w:type="spellEnd"/>
      <w:r w:rsidRPr="00C57747">
        <w:rPr>
          <w:rFonts w:ascii="Times New Roman" w:hAnsi="Times New Roman" w:cs="Times New Roman"/>
          <w:b/>
          <w:i/>
          <w:sz w:val="20"/>
          <w:szCs w:val="20"/>
        </w:rPr>
        <w:t xml:space="preserve"> to the UE via the handover command.</w:t>
      </w:r>
    </w:p>
    <w:p w:rsidR="00771023" w:rsidRDefault="001B3C19" w:rsidP="001B3C19">
      <w:pPr>
        <w:pStyle w:val="ListParagraph"/>
        <w:numPr>
          <w:ilvl w:val="0"/>
          <w:numId w:val="27"/>
        </w:numPr>
        <w:rPr>
          <w:rFonts w:ascii="Times New Roman" w:hAnsi="Times New Roman" w:cs="Times New Roman"/>
          <w:b/>
          <w:i/>
          <w:sz w:val="20"/>
          <w:szCs w:val="20"/>
        </w:rPr>
      </w:pPr>
      <w:r>
        <w:rPr>
          <w:rFonts w:ascii="Times New Roman" w:hAnsi="Times New Roman" w:cs="Times New Roman"/>
          <w:b/>
          <w:i/>
          <w:sz w:val="20"/>
          <w:szCs w:val="20"/>
        </w:rPr>
        <w:t>The UE can avoid interruption of sidelink operation during HO at least if the source and target cell use the same GNSS synchronization reference.</w:t>
      </w:r>
      <w:r w:rsidR="00496E27">
        <w:rPr>
          <w:rFonts w:ascii="Times New Roman" w:hAnsi="Times New Roman" w:cs="Times New Roman"/>
          <w:b/>
          <w:i/>
          <w:sz w:val="20"/>
          <w:szCs w:val="20"/>
        </w:rPr>
        <w:br/>
      </w:r>
    </w:p>
    <w:p w:rsidR="00496E27" w:rsidRDefault="00496E27" w:rsidP="00496E27">
      <w:pPr>
        <w:pStyle w:val="Heading1"/>
        <w:numPr>
          <w:ilvl w:val="0"/>
          <w:numId w:val="0"/>
        </w:numPr>
        <w:ind w:left="432" w:hanging="432"/>
      </w:pPr>
      <w:r>
        <w:t>References</w:t>
      </w:r>
    </w:p>
    <w:p w:rsidR="00496E27" w:rsidRPr="00496E27" w:rsidRDefault="00496E27" w:rsidP="00496E27">
      <w:r>
        <w:t xml:space="preserve">[1] R1-161074, </w:t>
      </w:r>
      <w:proofErr w:type="spellStart"/>
      <w:r w:rsidRPr="00496E27">
        <w:t>Uu</w:t>
      </w:r>
      <w:proofErr w:type="spellEnd"/>
      <w:r w:rsidRPr="00496E27">
        <w:t xml:space="preserve"> Enhancements for V2X</w:t>
      </w:r>
      <w:r>
        <w:t>, Ericsson</w:t>
      </w:r>
    </w:p>
    <w:p w:rsidR="00B707F1" w:rsidRPr="004C11F7" w:rsidRDefault="00B707F1" w:rsidP="00B707F1"/>
    <w:sectPr w:rsidR="00B707F1" w:rsidRPr="004C11F7" w:rsidSect="004B319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305" w:rsidRDefault="001C5305">
      <w:r>
        <w:separator/>
      </w:r>
    </w:p>
  </w:endnote>
  <w:endnote w:type="continuationSeparator" w:id="0">
    <w:p w:rsidR="001C5305" w:rsidRDefault="001C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305" w:rsidRDefault="001C5305">
      <w:r>
        <w:separator/>
      </w:r>
    </w:p>
  </w:footnote>
  <w:footnote w:type="continuationSeparator" w:id="0">
    <w:p w:rsidR="001C5305" w:rsidRDefault="001C53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B66AB3"/>
    <w:multiLevelType w:val="hybridMultilevel"/>
    <w:tmpl w:val="A9F82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580147"/>
    <w:multiLevelType w:val="hybridMultilevel"/>
    <w:tmpl w:val="70EA37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7EC7A9B"/>
    <w:multiLevelType w:val="hybridMultilevel"/>
    <w:tmpl w:val="C876CA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8323BAB"/>
    <w:multiLevelType w:val="hybridMultilevel"/>
    <w:tmpl w:val="43F8EE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83D6C08"/>
    <w:multiLevelType w:val="hybridMultilevel"/>
    <w:tmpl w:val="6FC0A0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8EF041E"/>
    <w:multiLevelType w:val="hybridMultilevel"/>
    <w:tmpl w:val="915E6E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3DF3721"/>
    <w:multiLevelType w:val="hybridMultilevel"/>
    <w:tmpl w:val="4ADA1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5B4D53"/>
    <w:multiLevelType w:val="hybridMultilevel"/>
    <w:tmpl w:val="8182EA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E6DE24"/>
    <w:lvl w:ilvl="0" w:tplc="B664C53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49074561"/>
    <w:multiLevelType w:val="hybridMultilevel"/>
    <w:tmpl w:val="893A04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42F550B"/>
    <w:multiLevelType w:val="hybridMultilevel"/>
    <w:tmpl w:val="7DC09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nsid w:val="6048797A"/>
    <w:multiLevelType w:val="hybridMultilevel"/>
    <w:tmpl w:val="13FC14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1"/>
  </w:num>
  <w:num w:numId="2">
    <w:abstractNumId w:val="29"/>
  </w:num>
  <w:num w:numId="3">
    <w:abstractNumId w:val="28"/>
  </w:num>
  <w:num w:numId="4">
    <w:abstractNumId w:val="14"/>
  </w:num>
  <w:num w:numId="5">
    <w:abstractNumId w:val="19"/>
  </w:num>
  <w:num w:numId="6">
    <w:abstractNumId w:val="30"/>
  </w:num>
  <w:num w:numId="7">
    <w:abstractNumId w:val="3"/>
  </w:num>
  <w:num w:numId="8">
    <w:abstractNumId w:val="1"/>
  </w:num>
  <w:num w:numId="9">
    <w:abstractNumId w:val="23"/>
  </w:num>
  <w:num w:numId="10">
    <w:abstractNumId w:val="12"/>
  </w:num>
  <w:num w:numId="11">
    <w:abstractNumId w:val="26"/>
  </w:num>
  <w:num w:numId="12">
    <w:abstractNumId w:val="15"/>
  </w:num>
  <w:num w:numId="13">
    <w:abstractNumId w:val="24"/>
  </w:num>
  <w:num w:numId="14">
    <w:abstractNumId w:val="27"/>
  </w:num>
  <w:num w:numId="15">
    <w:abstractNumId w:val="25"/>
  </w:num>
  <w:num w:numId="16">
    <w:abstractNumId w:val="6"/>
  </w:num>
  <w:num w:numId="17">
    <w:abstractNumId w:val="16"/>
  </w:num>
  <w:num w:numId="18">
    <w:abstractNumId w:val="11"/>
  </w:num>
  <w:num w:numId="19">
    <w:abstractNumId w:val="5"/>
  </w:num>
  <w:num w:numId="20">
    <w:abstractNumId w:val="8"/>
  </w:num>
  <w:num w:numId="21">
    <w:abstractNumId w:val="22"/>
  </w:num>
  <w:num w:numId="22">
    <w:abstractNumId w:val="13"/>
  </w:num>
  <w:num w:numId="23">
    <w:abstractNumId w:val="18"/>
  </w:num>
  <w:num w:numId="24">
    <w:abstractNumId w:val="10"/>
  </w:num>
  <w:num w:numId="25">
    <w:abstractNumId w:val="17"/>
  </w:num>
  <w:num w:numId="26">
    <w:abstractNumId w:val="2"/>
  </w:num>
  <w:num w:numId="27">
    <w:abstractNumId w:val="7"/>
  </w:num>
  <w:num w:numId="28">
    <w:abstractNumId w:val="20"/>
  </w:num>
  <w:num w:numId="29">
    <w:abstractNumId w:val="9"/>
  </w:num>
  <w:num w:numId="3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D6C"/>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0E26"/>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5DD"/>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4"/>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28E2"/>
    <w:rsid w:val="00153313"/>
    <w:rsid w:val="00153597"/>
    <w:rsid w:val="001537FF"/>
    <w:rsid w:val="00153875"/>
    <w:rsid w:val="00153A93"/>
    <w:rsid w:val="0015449A"/>
    <w:rsid w:val="00154B9E"/>
    <w:rsid w:val="00154DAE"/>
    <w:rsid w:val="0015623A"/>
    <w:rsid w:val="00156973"/>
    <w:rsid w:val="0015709F"/>
    <w:rsid w:val="001572C2"/>
    <w:rsid w:val="001573EE"/>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1CA"/>
    <w:rsid w:val="00176275"/>
    <w:rsid w:val="0017647C"/>
    <w:rsid w:val="0017652D"/>
    <w:rsid w:val="001776B3"/>
    <w:rsid w:val="0017790F"/>
    <w:rsid w:val="00177E47"/>
    <w:rsid w:val="0018032A"/>
    <w:rsid w:val="001808D9"/>
    <w:rsid w:val="001811CE"/>
    <w:rsid w:val="001815A1"/>
    <w:rsid w:val="00181669"/>
    <w:rsid w:val="001817B0"/>
    <w:rsid w:val="00182093"/>
    <w:rsid w:val="001831A8"/>
    <w:rsid w:val="00183579"/>
    <w:rsid w:val="001839D0"/>
    <w:rsid w:val="00183A8D"/>
    <w:rsid w:val="00184512"/>
    <w:rsid w:val="00184713"/>
    <w:rsid w:val="00184BEE"/>
    <w:rsid w:val="00184FFE"/>
    <w:rsid w:val="00185884"/>
    <w:rsid w:val="00185AB7"/>
    <w:rsid w:val="00185D53"/>
    <w:rsid w:val="00185F05"/>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C19"/>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4417"/>
    <w:rsid w:val="001C4634"/>
    <w:rsid w:val="001C48A3"/>
    <w:rsid w:val="001C5174"/>
    <w:rsid w:val="001C52D0"/>
    <w:rsid w:val="001C5305"/>
    <w:rsid w:val="001C56A6"/>
    <w:rsid w:val="001C59FB"/>
    <w:rsid w:val="001C5ABA"/>
    <w:rsid w:val="001C5B7F"/>
    <w:rsid w:val="001C615D"/>
    <w:rsid w:val="001C6301"/>
    <w:rsid w:val="001C63F7"/>
    <w:rsid w:val="001C6A14"/>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923"/>
    <w:rsid w:val="001D4BC3"/>
    <w:rsid w:val="001D51B5"/>
    <w:rsid w:val="001D53EC"/>
    <w:rsid w:val="001D55E0"/>
    <w:rsid w:val="001D58CB"/>
    <w:rsid w:val="001D5952"/>
    <w:rsid w:val="001D6168"/>
    <w:rsid w:val="001D6812"/>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665"/>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2F8E"/>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AD0"/>
    <w:rsid w:val="00372ECC"/>
    <w:rsid w:val="00373181"/>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2E"/>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C88"/>
    <w:rsid w:val="00422239"/>
    <w:rsid w:val="00422802"/>
    <w:rsid w:val="00422FBD"/>
    <w:rsid w:val="00423612"/>
    <w:rsid w:val="00424446"/>
    <w:rsid w:val="004245FA"/>
    <w:rsid w:val="004246FE"/>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205"/>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8D8"/>
    <w:rsid w:val="0049481A"/>
    <w:rsid w:val="004948CD"/>
    <w:rsid w:val="00494D50"/>
    <w:rsid w:val="00494DAB"/>
    <w:rsid w:val="0049515C"/>
    <w:rsid w:val="0049628B"/>
    <w:rsid w:val="00496495"/>
    <w:rsid w:val="00496693"/>
    <w:rsid w:val="004966BB"/>
    <w:rsid w:val="00496E27"/>
    <w:rsid w:val="00497A64"/>
    <w:rsid w:val="00497D0B"/>
    <w:rsid w:val="00497DFA"/>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6124"/>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63A9"/>
    <w:rsid w:val="00506502"/>
    <w:rsid w:val="00506693"/>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C6A"/>
    <w:rsid w:val="00514CC5"/>
    <w:rsid w:val="00514D61"/>
    <w:rsid w:val="00514F3A"/>
    <w:rsid w:val="00516515"/>
    <w:rsid w:val="00516ABE"/>
    <w:rsid w:val="00521057"/>
    <w:rsid w:val="00521149"/>
    <w:rsid w:val="005220E2"/>
    <w:rsid w:val="005220E8"/>
    <w:rsid w:val="00522C62"/>
    <w:rsid w:val="00522F4F"/>
    <w:rsid w:val="0052360D"/>
    <w:rsid w:val="00523BBE"/>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B95"/>
    <w:rsid w:val="00592D89"/>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0F6"/>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374"/>
    <w:rsid w:val="006003F1"/>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5452"/>
    <w:rsid w:val="00625AD2"/>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023"/>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1B9"/>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F20"/>
    <w:rsid w:val="008221BA"/>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2E98"/>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EAA"/>
    <w:rsid w:val="008F0FFB"/>
    <w:rsid w:val="008F12A7"/>
    <w:rsid w:val="008F1776"/>
    <w:rsid w:val="008F1C1B"/>
    <w:rsid w:val="008F1CEB"/>
    <w:rsid w:val="008F2D3A"/>
    <w:rsid w:val="008F305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99"/>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D3E"/>
    <w:rsid w:val="009C6F01"/>
    <w:rsid w:val="009D065E"/>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786B"/>
    <w:rsid w:val="00A37988"/>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211F"/>
    <w:rsid w:val="00B02611"/>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2B2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0C1F"/>
    <w:rsid w:val="00BC12CF"/>
    <w:rsid w:val="00BC1683"/>
    <w:rsid w:val="00BC1908"/>
    <w:rsid w:val="00BC1A1F"/>
    <w:rsid w:val="00BC1ADA"/>
    <w:rsid w:val="00BC1C78"/>
    <w:rsid w:val="00BC2177"/>
    <w:rsid w:val="00BC2575"/>
    <w:rsid w:val="00BC2990"/>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D12"/>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747"/>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889"/>
    <w:rsid w:val="00CB6E0A"/>
    <w:rsid w:val="00CB6F1C"/>
    <w:rsid w:val="00CB7882"/>
    <w:rsid w:val="00CB7A9D"/>
    <w:rsid w:val="00CB7C9B"/>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474E"/>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D7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728C"/>
    <w:rsid w:val="00FB7791"/>
    <w:rsid w:val="00FB7A26"/>
    <w:rsid w:val="00FB7FF7"/>
    <w:rsid w:val="00FC0038"/>
    <w:rsid w:val="00FC0404"/>
    <w:rsid w:val="00FC0C0B"/>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Proposal">
    <w:name w:val="Proposal"/>
    <w:basedOn w:val="Normal"/>
    <w:rsid w:val="001528E2"/>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528E2"/>
    <w:pPr>
      <w:numPr>
        <w:numId w:val="23"/>
      </w:numPr>
      <w:ind w:left="1701" w:hanging="170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Proposal">
    <w:name w:val="Proposal"/>
    <w:basedOn w:val="Normal"/>
    <w:rsid w:val="001528E2"/>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528E2"/>
    <w:pPr>
      <w:numPr>
        <w:numId w:val="23"/>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45139563">
      <w:bodyDiv w:val="1"/>
      <w:marLeft w:val="0"/>
      <w:marRight w:val="0"/>
      <w:marTop w:val="0"/>
      <w:marBottom w:val="0"/>
      <w:divBdr>
        <w:top w:val="none" w:sz="0" w:space="0" w:color="auto"/>
        <w:left w:val="none" w:sz="0" w:space="0" w:color="auto"/>
        <w:bottom w:val="none" w:sz="0" w:space="0" w:color="auto"/>
        <w:right w:val="none" w:sz="0" w:space="0" w:color="auto"/>
      </w:divBdr>
    </w:div>
    <w:div w:id="441918759">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54D5E-8328-4CAA-9DD7-53B932938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627</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2016-02-05T14:56:00Z</dcterms:created>
  <dcterms:modified xsi:type="dcterms:W3CDTF">2016-02-05T15:29:00Z</dcterms:modified>
</cp:coreProperties>
</file>